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1F55" w14:textId="00A39078" w:rsidR="008E6CF9" w:rsidRDefault="005A3D77" w:rsidP="003447E5">
      <w:pPr>
        <w:spacing w:line="3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Poptávka po českých modulech roste</w:t>
      </w:r>
      <w:r w:rsidR="00FB7FD1">
        <w:rPr>
          <w:b/>
          <w:sz w:val="28"/>
          <w:szCs w:val="28"/>
        </w:rPr>
        <w:t>: zájem má nejen Evropa, ale i Amerika nebo Afrika</w:t>
      </w:r>
    </w:p>
    <w:p w14:paraId="16062DE2" w14:textId="77777777" w:rsidR="00A50CC0" w:rsidRPr="004446E0" w:rsidRDefault="00A50CC0" w:rsidP="003447E5">
      <w:pPr>
        <w:spacing w:line="320" w:lineRule="atLeast"/>
        <w:rPr>
          <w:b/>
          <w:sz w:val="28"/>
          <w:szCs w:val="28"/>
        </w:rPr>
      </w:pPr>
    </w:p>
    <w:p w14:paraId="249DD46A" w14:textId="4066844C" w:rsidR="008E6CF9" w:rsidRDefault="00702668" w:rsidP="00702668">
      <w:pPr>
        <w:spacing w:after="200" w:line="360" w:lineRule="auto"/>
        <w:jc w:val="both"/>
        <w:rPr>
          <w:b/>
        </w:rPr>
      </w:pPr>
      <w:r w:rsidRPr="00702668">
        <w:rPr>
          <w:b/>
        </w:rPr>
        <w:t xml:space="preserve">Praha, </w:t>
      </w:r>
      <w:r w:rsidR="00BA3ABD">
        <w:rPr>
          <w:b/>
        </w:rPr>
        <w:t>2. 6.</w:t>
      </w:r>
      <w:r w:rsidRPr="00702668">
        <w:rPr>
          <w:b/>
        </w:rPr>
        <w:t xml:space="preserve"> 201</w:t>
      </w:r>
      <w:r w:rsidR="00A50CC0">
        <w:rPr>
          <w:b/>
        </w:rPr>
        <w:t>6</w:t>
      </w:r>
      <w:r w:rsidRPr="00702668">
        <w:rPr>
          <w:b/>
        </w:rPr>
        <w:t xml:space="preserve"> – </w:t>
      </w:r>
      <w:r w:rsidR="006B269D">
        <w:rPr>
          <w:b/>
        </w:rPr>
        <w:t>O modulové stavby z</w:t>
      </w:r>
      <w:r w:rsidR="00CA20AA">
        <w:rPr>
          <w:b/>
        </w:rPr>
        <w:t xml:space="preserve"> českých </w:t>
      </w:r>
      <w:r w:rsidR="00984469">
        <w:rPr>
          <w:b/>
        </w:rPr>
        <w:t>výrobních závodů</w:t>
      </w:r>
      <w:r w:rsidR="006B269D">
        <w:rPr>
          <w:b/>
        </w:rPr>
        <w:t xml:space="preserve"> je ve světě mimořádný zájem. Poptávka z evropských zemí jako je Německo, Švédsko nebo Rakousko v </w:t>
      </w:r>
      <w:r w:rsidR="000251A3">
        <w:rPr>
          <w:b/>
        </w:rPr>
        <w:t>loňském roce</w:t>
      </w:r>
      <w:r w:rsidR="006B269D">
        <w:rPr>
          <w:b/>
        </w:rPr>
        <w:t xml:space="preserve"> </w:t>
      </w:r>
      <w:r w:rsidR="000251A3">
        <w:rPr>
          <w:b/>
        </w:rPr>
        <w:t xml:space="preserve">neobyčejně </w:t>
      </w:r>
      <w:r w:rsidR="006B269D">
        <w:rPr>
          <w:b/>
        </w:rPr>
        <w:t xml:space="preserve">vzrostla v souvislosti s uprchlickou krizí. Zájem o kvalitní české moduly </w:t>
      </w:r>
      <w:r w:rsidR="000251A3">
        <w:rPr>
          <w:b/>
        </w:rPr>
        <w:t>je ale i v exotičtějších regio</w:t>
      </w:r>
      <w:r w:rsidR="00A3667C">
        <w:rPr>
          <w:b/>
        </w:rPr>
        <w:t>nech</w:t>
      </w:r>
      <w:r w:rsidR="0039152E">
        <w:rPr>
          <w:b/>
        </w:rPr>
        <w:t>. Divize modulových staveb skupiny Touax</w:t>
      </w:r>
      <w:bookmarkStart w:id="0" w:name="_GoBack"/>
      <w:bookmarkEnd w:id="0"/>
      <w:r w:rsidR="0039152E">
        <w:rPr>
          <w:b/>
        </w:rPr>
        <w:t xml:space="preserve">, která má výrobní závod v jesenických Supíkovicích, dokončila realizaci modulové administrativní budovy, jež v Rio de </w:t>
      </w:r>
      <w:proofErr w:type="spellStart"/>
      <w:r w:rsidR="0039152E">
        <w:rPr>
          <w:b/>
        </w:rPr>
        <w:t>Janeiru</w:t>
      </w:r>
      <w:proofErr w:type="spellEnd"/>
      <w:r w:rsidR="0039152E">
        <w:rPr>
          <w:b/>
        </w:rPr>
        <w:t xml:space="preserve"> slouž</w:t>
      </w:r>
      <w:r w:rsidR="000251A3">
        <w:rPr>
          <w:b/>
        </w:rPr>
        <w:t>í</w:t>
      </w:r>
      <w:r w:rsidR="0039152E">
        <w:rPr>
          <w:b/>
        </w:rPr>
        <w:t xml:space="preserve"> jako centrála neziskové nadac</w:t>
      </w:r>
      <w:r w:rsidR="00B43A92">
        <w:rPr>
          <w:b/>
        </w:rPr>
        <w:t>i</w:t>
      </w:r>
      <w:r w:rsidR="004178F7">
        <w:rPr>
          <w:b/>
        </w:rPr>
        <w:t xml:space="preserve"> </w:t>
      </w:r>
      <w:proofErr w:type="spellStart"/>
      <w:r w:rsidR="004178F7">
        <w:rPr>
          <w:b/>
        </w:rPr>
        <w:t>Fiotec</w:t>
      </w:r>
      <w:proofErr w:type="spellEnd"/>
      <w:r w:rsidR="0039152E">
        <w:rPr>
          <w:b/>
        </w:rPr>
        <w:t>.</w:t>
      </w:r>
      <w:r w:rsidR="000B11E1">
        <w:rPr>
          <w:b/>
        </w:rPr>
        <w:t xml:space="preserve"> V</w:t>
      </w:r>
      <w:r w:rsidR="00060CA9">
        <w:rPr>
          <w:b/>
        </w:rPr>
        <w:t xml:space="preserve"> tomto brazilském městě </w:t>
      </w:r>
      <w:proofErr w:type="spellStart"/>
      <w:r w:rsidR="000B365F">
        <w:rPr>
          <w:b/>
        </w:rPr>
        <w:t>Touax</w:t>
      </w:r>
      <w:proofErr w:type="spellEnd"/>
      <w:r w:rsidR="000B365F">
        <w:rPr>
          <w:b/>
        </w:rPr>
        <w:t xml:space="preserve"> </w:t>
      </w:r>
      <w:r w:rsidR="00060CA9">
        <w:rPr>
          <w:b/>
        </w:rPr>
        <w:t xml:space="preserve">získal </w:t>
      </w:r>
      <w:r w:rsidR="000251A3">
        <w:rPr>
          <w:b/>
        </w:rPr>
        <w:t>i</w:t>
      </w:r>
      <w:r w:rsidR="00060CA9">
        <w:rPr>
          <w:b/>
        </w:rPr>
        <w:t xml:space="preserve"> druhou zakázku a </w:t>
      </w:r>
      <w:r w:rsidR="000251A3">
        <w:rPr>
          <w:b/>
        </w:rPr>
        <w:t xml:space="preserve">staví </w:t>
      </w:r>
      <w:r w:rsidR="00060CA9">
        <w:rPr>
          <w:b/>
        </w:rPr>
        <w:t>kancelářsk</w:t>
      </w:r>
      <w:r w:rsidR="000251A3">
        <w:rPr>
          <w:b/>
        </w:rPr>
        <w:t>ý</w:t>
      </w:r>
      <w:r w:rsidR="00060CA9">
        <w:rPr>
          <w:b/>
        </w:rPr>
        <w:t xml:space="preserve"> objekt pro </w:t>
      </w:r>
      <w:r w:rsidR="000251A3">
        <w:rPr>
          <w:b/>
        </w:rPr>
        <w:t xml:space="preserve">další </w:t>
      </w:r>
      <w:r w:rsidR="00060CA9">
        <w:rPr>
          <w:b/>
        </w:rPr>
        <w:t xml:space="preserve">nadaci </w:t>
      </w:r>
      <w:proofErr w:type="spellStart"/>
      <w:r w:rsidR="00060CA9">
        <w:rPr>
          <w:b/>
        </w:rPr>
        <w:t>Fiocruz</w:t>
      </w:r>
      <w:proofErr w:type="spellEnd"/>
      <w:r w:rsidR="00060CA9">
        <w:rPr>
          <w:b/>
        </w:rPr>
        <w:t>.</w:t>
      </w:r>
    </w:p>
    <w:p w14:paraId="2BFE7A3F" w14:textId="4CF4A5CB" w:rsidR="00B43A92" w:rsidRDefault="004178F7" w:rsidP="00702668">
      <w:pPr>
        <w:spacing w:after="200" w:line="360" w:lineRule="auto"/>
        <w:jc w:val="both"/>
      </w:pPr>
      <w:r>
        <w:t>Česká republika je evropskou velmocí v</w:t>
      </w:r>
      <w:r w:rsidR="00227537">
        <w:t xml:space="preserve"> oblasti </w:t>
      </w:r>
      <w:r w:rsidR="00AA4F14">
        <w:t xml:space="preserve">výroby </w:t>
      </w:r>
      <w:r w:rsidR="00227537">
        <w:t>modulových objektů</w:t>
      </w:r>
      <w:r>
        <w:t xml:space="preserve">. Ročně se zde vyrobí </w:t>
      </w:r>
      <w:r w:rsidR="00A3667C">
        <w:t>kolem</w:t>
      </w:r>
      <w:r>
        <w:t xml:space="preserve"> </w:t>
      </w:r>
      <w:r w:rsidRPr="0059772C">
        <w:t>2</w:t>
      </w:r>
      <w:r w:rsidR="00AA4F14">
        <w:t>0</w:t>
      </w:r>
      <w:r w:rsidRPr="0059772C">
        <w:t xml:space="preserve"> tisíc modulů</w:t>
      </w:r>
      <w:r>
        <w:t xml:space="preserve"> </w:t>
      </w:r>
      <w:r w:rsidR="000B11E1">
        <w:t>a více než</w:t>
      </w:r>
      <w:r>
        <w:t xml:space="preserve"> 90</w:t>
      </w:r>
      <w:r w:rsidR="00B245A4">
        <w:t> </w:t>
      </w:r>
      <w:r>
        <w:t xml:space="preserve">% </w:t>
      </w:r>
      <w:r w:rsidRPr="0059772C">
        <w:t xml:space="preserve">jde na </w:t>
      </w:r>
      <w:r>
        <w:t>vývoz</w:t>
      </w:r>
      <w:r w:rsidRPr="0059772C">
        <w:t>.</w:t>
      </w:r>
      <w:r>
        <w:rPr>
          <w:b/>
        </w:rPr>
        <w:t xml:space="preserve"> </w:t>
      </w:r>
      <w:r w:rsidR="00227537" w:rsidRPr="00D370D6">
        <w:t>Podle údajů</w:t>
      </w:r>
      <w:r w:rsidR="00227537">
        <w:rPr>
          <w:b/>
        </w:rPr>
        <w:t xml:space="preserve"> </w:t>
      </w:r>
      <w:r w:rsidR="00227537">
        <w:t xml:space="preserve">Českého statistického úřadu dosáhl v roce 2015 </w:t>
      </w:r>
      <w:r w:rsidR="00B8406A">
        <w:t>český export montovaných staveb</w:t>
      </w:r>
      <w:r w:rsidR="00B031D0">
        <w:t xml:space="preserve"> ze železa nebo oceli</w:t>
      </w:r>
      <w:r w:rsidR="00227537">
        <w:t xml:space="preserve">, </w:t>
      </w:r>
      <w:r w:rsidR="00AA4F14">
        <w:t xml:space="preserve"> kam </w:t>
      </w:r>
      <w:r w:rsidR="00AA09E2">
        <w:t>patří</w:t>
      </w:r>
      <w:r w:rsidR="00AA4F14">
        <w:t xml:space="preserve"> i</w:t>
      </w:r>
      <w:r w:rsidR="00227537">
        <w:t xml:space="preserve"> </w:t>
      </w:r>
      <w:r w:rsidR="00B245A4">
        <w:t xml:space="preserve">modulové </w:t>
      </w:r>
      <w:r w:rsidR="00AA4F14">
        <w:t>stavby</w:t>
      </w:r>
      <w:r w:rsidR="00227537">
        <w:t>,</w:t>
      </w:r>
      <w:r w:rsidR="00F71D77">
        <w:t xml:space="preserve"> </w:t>
      </w:r>
      <w:r w:rsidR="00DD7357">
        <w:t>celkové hodnoty</w:t>
      </w:r>
      <w:r w:rsidR="00975518">
        <w:t xml:space="preserve"> 6,</w:t>
      </w:r>
      <w:r w:rsidR="00AA4F14">
        <w:t>3</w:t>
      </w:r>
      <w:r w:rsidR="00975518">
        <w:t xml:space="preserve"> miliard korun</w:t>
      </w:r>
      <w:r w:rsidR="00227537">
        <w:t xml:space="preserve">. </w:t>
      </w:r>
      <w:r w:rsidR="00EA1BA3">
        <w:t>V</w:t>
      </w:r>
      <w:r w:rsidR="00B8406A">
        <w:t xml:space="preserve">ývoz do Německa, </w:t>
      </w:r>
      <w:r w:rsidR="0052570F">
        <w:t xml:space="preserve">které </w:t>
      </w:r>
      <w:r w:rsidR="00227537">
        <w:t xml:space="preserve">je </w:t>
      </w:r>
      <w:r w:rsidR="00B8406A">
        <w:t>pro Česko</w:t>
      </w:r>
      <w:r w:rsidR="00227537">
        <w:t xml:space="preserve"> hlavním odběratelským trhem</w:t>
      </w:r>
      <w:r w:rsidR="00B8406A">
        <w:t>,</w:t>
      </w:r>
      <w:r w:rsidR="00975518">
        <w:t xml:space="preserve"> </w:t>
      </w:r>
      <w:r w:rsidR="00B8406A">
        <w:t>z toho představoval 4,</w:t>
      </w:r>
      <w:r w:rsidR="00AA09E2">
        <w:t>3</w:t>
      </w:r>
      <w:r w:rsidR="00E15497">
        <w:t xml:space="preserve"> miliardy korun. </w:t>
      </w:r>
      <w:r w:rsidR="00B43A92" w:rsidRPr="00D370D6">
        <w:t>„</w:t>
      </w:r>
      <w:r w:rsidR="002753E5" w:rsidRPr="00D370D6">
        <w:rPr>
          <w:i/>
        </w:rPr>
        <w:t>E</w:t>
      </w:r>
      <w:r w:rsidR="00B245A4" w:rsidRPr="00D370D6">
        <w:rPr>
          <w:i/>
        </w:rPr>
        <w:t xml:space="preserve">xport do </w:t>
      </w:r>
      <w:r w:rsidR="00F71D77" w:rsidRPr="00D370D6">
        <w:rPr>
          <w:i/>
        </w:rPr>
        <w:t>Německa</w:t>
      </w:r>
      <w:r w:rsidR="000D5DF5" w:rsidRPr="00D370D6">
        <w:rPr>
          <w:i/>
        </w:rPr>
        <w:t xml:space="preserve"> </w:t>
      </w:r>
      <w:r w:rsidR="00B245A4" w:rsidRPr="00D370D6">
        <w:rPr>
          <w:i/>
        </w:rPr>
        <w:t>ovlivnila jistě i</w:t>
      </w:r>
      <w:r w:rsidR="00D370D6">
        <w:rPr>
          <w:i/>
        </w:rPr>
        <w:t> </w:t>
      </w:r>
      <w:r w:rsidR="00B245A4" w:rsidRPr="00D370D6">
        <w:rPr>
          <w:i/>
        </w:rPr>
        <w:t xml:space="preserve">zvyšující se poptávka po modulových objektech pro </w:t>
      </w:r>
      <w:r w:rsidR="000D5DF5" w:rsidRPr="00D370D6">
        <w:rPr>
          <w:i/>
        </w:rPr>
        <w:t>ubytování uprchlík</w:t>
      </w:r>
      <w:r w:rsidR="00B245A4" w:rsidRPr="00D370D6">
        <w:rPr>
          <w:i/>
        </w:rPr>
        <w:t>ů</w:t>
      </w:r>
      <w:r w:rsidR="000D5DF5" w:rsidRPr="00D370D6">
        <w:rPr>
          <w:i/>
        </w:rPr>
        <w:t xml:space="preserve">. Zatímco mezi lety 2013 a 2014 byl nárůst </w:t>
      </w:r>
      <w:r w:rsidR="00B245A4" w:rsidRPr="00D370D6">
        <w:rPr>
          <w:i/>
        </w:rPr>
        <w:t xml:space="preserve">vývozu </w:t>
      </w:r>
      <w:r w:rsidR="0052570F">
        <w:rPr>
          <w:i/>
        </w:rPr>
        <w:t xml:space="preserve">montovaných staveb </w:t>
      </w:r>
      <w:r w:rsidR="000D5DF5" w:rsidRPr="00D370D6">
        <w:rPr>
          <w:i/>
        </w:rPr>
        <w:t>1</w:t>
      </w:r>
      <w:r w:rsidR="00AA09E2">
        <w:rPr>
          <w:i/>
        </w:rPr>
        <w:t>4</w:t>
      </w:r>
      <w:r w:rsidR="000D5DF5" w:rsidRPr="00D370D6">
        <w:rPr>
          <w:i/>
        </w:rPr>
        <w:t xml:space="preserve"> %, mezi rokem 2014 a 2015 </w:t>
      </w:r>
      <w:r w:rsidR="002753E5" w:rsidRPr="00D370D6">
        <w:rPr>
          <w:i/>
        </w:rPr>
        <w:t xml:space="preserve">už </w:t>
      </w:r>
      <w:r w:rsidR="00B245A4" w:rsidRPr="00D370D6">
        <w:rPr>
          <w:i/>
        </w:rPr>
        <w:t xml:space="preserve">export </w:t>
      </w:r>
      <w:r w:rsidR="002753E5" w:rsidRPr="00D370D6">
        <w:rPr>
          <w:i/>
        </w:rPr>
        <w:t xml:space="preserve">vzrostl </w:t>
      </w:r>
      <w:r w:rsidR="000D5DF5" w:rsidRPr="00D370D6">
        <w:rPr>
          <w:i/>
        </w:rPr>
        <w:t xml:space="preserve">o více než </w:t>
      </w:r>
      <w:r w:rsidR="00AA09E2">
        <w:rPr>
          <w:i/>
        </w:rPr>
        <w:t>37</w:t>
      </w:r>
      <w:r w:rsidR="00FB7FD1">
        <w:rPr>
          <w:i/>
        </w:rPr>
        <w:t xml:space="preserve"> %</w:t>
      </w:r>
      <w:r w:rsidR="00B43A92" w:rsidRPr="00D370D6">
        <w:rPr>
          <w:i/>
        </w:rPr>
        <w:t>,“</w:t>
      </w:r>
      <w:r w:rsidR="00B43A92" w:rsidRPr="00D370D6">
        <w:t xml:space="preserve"> uv</w:t>
      </w:r>
      <w:r w:rsidR="008B39D4" w:rsidRPr="00D370D6">
        <w:t xml:space="preserve">ádí </w:t>
      </w:r>
      <w:r w:rsidR="00B43A92" w:rsidRPr="00D370D6">
        <w:t>Jan Petr, marketingový ředitel společnosti Touax.</w:t>
      </w:r>
    </w:p>
    <w:p w14:paraId="5F51724B" w14:textId="5884FC56" w:rsidR="001A6F27" w:rsidRPr="00B43A92" w:rsidRDefault="001A6F27" w:rsidP="001A6F27">
      <w:pPr>
        <w:spacing w:after="200" w:line="360" w:lineRule="auto"/>
        <w:jc w:val="both"/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DE9089A" wp14:editId="72DB0CBF">
            <wp:simplePos x="0" y="0"/>
            <wp:positionH relativeFrom="margin">
              <wp:posOffset>4583430</wp:posOffset>
            </wp:positionH>
            <wp:positionV relativeFrom="paragraph">
              <wp:posOffset>8255</wp:posOffset>
            </wp:positionV>
            <wp:extent cx="2239010" cy="1480820"/>
            <wp:effectExtent l="0" t="0" r="8890" b="5080"/>
            <wp:wrapTight wrapText="bothSides">
              <wp:wrapPolygon edited="0">
                <wp:start x="0" y="0"/>
                <wp:lineTo x="0" y="21396"/>
                <wp:lineTo x="21502" y="21396"/>
                <wp:lineTo x="21502" y="0"/>
                <wp:lineTo x="0" y="0"/>
              </wp:wrapPolygon>
            </wp:wrapTight>
            <wp:docPr id="2" name="Obrázek 2" descr="I:\PR-Reality\Touax\Fotografie\Fiotec Brazílie\Výběr pro TZ\Fiote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Fotografie\Fiotec Brazílie\Výběr pro TZ\Fiotec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16">
        <w:t xml:space="preserve">Touax vyváží moduly nejen do Evropy, ale také do </w:t>
      </w:r>
      <w:r w:rsidR="00CD3F3E">
        <w:t>A</w:t>
      </w:r>
      <w:r w:rsidR="00623858">
        <w:t>friky</w:t>
      </w:r>
      <w:r w:rsidR="00CD3F3E">
        <w:t xml:space="preserve"> a </w:t>
      </w:r>
      <w:r w:rsidR="003940AC">
        <w:t xml:space="preserve">Jižní a Střední </w:t>
      </w:r>
      <w:r w:rsidR="00CD3F3E">
        <w:t>Ameriky</w:t>
      </w:r>
      <w:r w:rsidR="00623858">
        <w:t>.</w:t>
      </w:r>
      <w:r w:rsidR="00CD3F3E">
        <w:t xml:space="preserve"> V </w:t>
      </w:r>
      <w:r w:rsidR="003940AC">
        <w:t>č</w:t>
      </w:r>
      <w:r w:rsidR="00CD3F3E">
        <w:t xml:space="preserve">adském hlavním městě </w:t>
      </w:r>
      <w:proofErr w:type="spellStart"/>
      <w:r w:rsidR="00CD3F3E" w:rsidRPr="00CD3F3E">
        <w:t>N'Djamena</w:t>
      </w:r>
      <w:proofErr w:type="spellEnd"/>
      <w:r w:rsidR="00CD3F3E">
        <w:t xml:space="preserve"> vznikla z</w:t>
      </w:r>
      <w:r w:rsidR="005A3D77">
        <w:t> </w:t>
      </w:r>
      <w:r w:rsidR="00CD3F3E">
        <w:t>modulů</w:t>
      </w:r>
      <w:r w:rsidR="005A3D77">
        <w:t xml:space="preserve"> </w:t>
      </w:r>
      <w:proofErr w:type="spellStart"/>
      <w:r w:rsidR="005A3D77">
        <w:t>Touaxu</w:t>
      </w:r>
      <w:proofErr w:type="spellEnd"/>
      <w:r w:rsidR="00CD3F3E">
        <w:t xml:space="preserve"> budova pro nevoje</w:t>
      </w:r>
      <w:r w:rsidR="005E6B1C">
        <w:t xml:space="preserve">nský personál francouzské armády a </w:t>
      </w:r>
      <w:r w:rsidR="003940AC">
        <w:t xml:space="preserve">v brazilském </w:t>
      </w:r>
      <w:r w:rsidR="005E6B1C">
        <w:t xml:space="preserve">Rio de </w:t>
      </w:r>
      <w:proofErr w:type="spellStart"/>
      <w:r w:rsidR="005E6B1C">
        <w:t>Janeiru</w:t>
      </w:r>
      <w:proofErr w:type="spellEnd"/>
      <w:r>
        <w:t xml:space="preserve"> </w:t>
      </w:r>
      <w:r w:rsidR="003940AC">
        <w:t xml:space="preserve">nově vyrostla </w:t>
      </w:r>
      <w:r w:rsidR="00B973DE">
        <w:t xml:space="preserve">administrativní budova, která slouží jako centrála </w:t>
      </w:r>
      <w:r w:rsidR="0052570F">
        <w:t xml:space="preserve">soukromé </w:t>
      </w:r>
      <w:r w:rsidR="00B973DE">
        <w:t xml:space="preserve">neziskové nadace </w:t>
      </w:r>
      <w:proofErr w:type="spellStart"/>
      <w:r w:rsidR="00B973DE">
        <w:t>Fiotec</w:t>
      </w:r>
      <w:proofErr w:type="spellEnd"/>
      <w:r w:rsidR="00B973DE">
        <w:t xml:space="preserve">. </w:t>
      </w:r>
      <w:r w:rsidR="0052570F">
        <w:t xml:space="preserve">Ta </w:t>
      </w:r>
      <w:r w:rsidR="0052570F" w:rsidRPr="00970665">
        <w:rPr>
          <w:lang w:eastAsia="cs-CZ"/>
        </w:rPr>
        <w:t xml:space="preserve">poskytuje finanční a administrativní služby </w:t>
      </w:r>
      <w:r w:rsidR="0052570F">
        <w:rPr>
          <w:lang w:eastAsia="cs-CZ"/>
        </w:rPr>
        <w:t xml:space="preserve">nadaci </w:t>
      </w:r>
      <w:proofErr w:type="spellStart"/>
      <w:r w:rsidR="0052570F">
        <w:rPr>
          <w:lang w:eastAsia="cs-CZ"/>
        </w:rPr>
        <w:t>Fiocruz</w:t>
      </w:r>
      <w:proofErr w:type="spellEnd"/>
      <w:r w:rsidR="0052570F">
        <w:rPr>
          <w:lang w:eastAsia="cs-CZ"/>
        </w:rPr>
        <w:t xml:space="preserve">, </w:t>
      </w:r>
      <w:r w:rsidR="0052570F" w:rsidRPr="00970665">
        <w:rPr>
          <w:lang w:eastAsia="cs-CZ"/>
        </w:rPr>
        <w:t>jedné z nejrespektovanějších institucí pro vědu a</w:t>
      </w:r>
      <w:r w:rsidR="0052570F">
        <w:rPr>
          <w:lang w:eastAsia="cs-CZ"/>
        </w:rPr>
        <w:t> </w:t>
      </w:r>
      <w:r w:rsidR="0052570F" w:rsidRPr="00970665">
        <w:rPr>
          <w:lang w:eastAsia="cs-CZ"/>
        </w:rPr>
        <w:t xml:space="preserve">technologii v brazilském </w:t>
      </w:r>
      <w:r w:rsidR="0052570F">
        <w:rPr>
          <w:lang w:eastAsia="cs-CZ"/>
        </w:rPr>
        <w:t xml:space="preserve">zdravotnictví. </w:t>
      </w:r>
      <w:r w:rsidR="000939B1">
        <w:t>Celkových 214 modulů potřebných</w:t>
      </w:r>
      <w:r w:rsidR="000B11E1">
        <w:t xml:space="preserve"> pro </w:t>
      </w:r>
      <w:r w:rsidR="000939B1">
        <w:t>výstavbu d</w:t>
      </w:r>
      <w:r>
        <w:t>o</w:t>
      </w:r>
      <w:r w:rsidR="009C7716">
        <w:t> </w:t>
      </w:r>
      <w:r>
        <w:t xml:space="preserve">Brazílie </w:t>
      </w:r>
      <w:r w:rsidR="000939B1">
        <w:t xml:space="preserve">doplulo </w:t>
      </w:r>
      <w:r w:rsidRPr="00623858">
        <w:t xml:space="preserve">ve 36 kontejnerech na </w:t>
      </w:r>
      <w:r w:rsidR="003940AC">
        <w:t xml:space="preserve">pěti </w:t>
      </w:r>
      <w:r w:rsidRPr="00623858">
        <w:t>různých lodích.</w:t>
      </w:r>
      <w:r>
        <w:t xml:space="preserve"> Kromě </w:t>
      </w:r>
      <w:r w:rsidR="000939B1">
        <w:t xml:space="preserve">výroby </w:t>
      </w:r>
      <w:r>
        <w:t xml:space="preserve">společnost </w:t>
      </w:r>
      <w:r w:rsidR="000939B1">
        <w:t xml:space="preserve">Touax </w:t>
      </w:r>
      <w:r>
        <w:t>zaštítila také celý management projektu a</w:t>
      </w:r>
      <w:r w:rsidR="009C7716">
        <w:t> </w:t>
      </w:r>
      <w:r w:rsidR="000939B1">
        <w:t xml:space="preserve">spolupráci </w:t>
      </w:r>
      <w:r>
        <w:rPr>
          <w:lang w:eastAsia="cs-CZ"/>
        </w:rPr>
        <w:t xml:space="preserve">klíčových firem, jež </w:t>
      </w:r>
      <w:r w:rsidR="000939B1">
        <w:rPr>
          <w:lang w:eastAsia="cs-CZ"/>
        </w:rPr>
        <w:t xml:space="preserve">se na </w:t>
      </w:r>
      <w:r w:rsidR="000251A3">
        <w:rPr>
          <w:lang w:eastAsia="cs-CZ"/>
        </w:rPr>
        <w:t>realizaci</w:t>
      </w:r>
      <w:r w:rsidR="000939B1">
        <w:rPr>
          <w:lang w:eastAsia="cs-CZ"/>
        </w:rPr>
        <w:t xml:space="preserve"> podílely. </w:t>
      </w:r>
      <w:r w:rsidR="000251A3">
        <w:rPr>
          <w:lang w:eastAsia="cs-CZ"/>
        </w:rPr>
        <w:t xml:space="preserve">Šlo o brazilské společnosti zajišťující </w:t>
      </w:r>
      <w:r>
        <w:rPr>
          <w:lang w:eastAsia="cs-CZ"/>
        </w:rPr>
        <w:t xml:space="preserve">celní procedury, architektonické řešení, samotné stavební práce i dodání </w:t>
      </w:r>
      <w:r w:rsidR="00A67E52">
        <w:rPr>
          <w:lang w:eastAsia="cs-CZ"/>
        </w:rPr>
        <w:t xml:space="preserve">fasády a vzduchotechniky. Pouze logistiku svěřil </w:t>
      </w:r>
      <w:proofErr w:type="spellStart"/>
      <w:r w:rsidR="00A67E52">
        <w:rPr>
          <w:lang w:eastAsia="cs-CZ"/>
        </w:rPr>
        <w:t>Touax</w:t>
      </w:r>
      <w:proofErr w:type="spellEnd"/>
      <w:r w:rsidR="00A67E52">
        <w:rPr>
          <w:lang w:eastAsia="cs-CZ"/>
        </w:rPr>
        <w:t xml:space="preserve"> české firmě </w:t>
      </w:r>
      <w:proofErr w:type="spellStart"/>
      <w:r w:rsidR="00A67E52">
        <w:rPr>
          <w:lang w:eastAsia="cs-CZ"/>
        </w:rPr>
        <w:t>deugro</w:t>
      </w:r>
      <w:proofErr w:type="spellEnd"/>
      <w:r w:rsidR="00FB7FD1">
        <w:rPr>
          <w:lang w:eastAsia="cs-CZ"/>
        </w:rPr>
        <w:t xml:space="preserve"> (CZ).</w:t>
      </w:r>
    </w:p>
    <w:p w14:paraId="6C996D1C" w14:textId="0ABBD708" w:rsidR="008B39D4" w:rsidRPr="00D370D6" w:rsidRDefault="001A6F27" w:rsidP="00702668">
      <w:pPr>
        <w:spacing w:after="200" w:line="360" w:lineRule="auto"/>
        <w:jc w:val="both"/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4CE03B2" wp14:editId="7F0E6BE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152650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409" y="21388"/>
                <wp:lineTo x="21409" y="0"/>
                <wp:lineTo x="0" y="0"/>
              </wp:wrapPolygon>
            </wp:wrapTight>
            <wp:docPr id="5" name="Obrázek 5" descr="I:\PR-Reality\Touax\Fotografie\Fiotec Brazílie\Výběr pro TZ\Fiote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R-Reality\Touax\Fotografie\Fiotec Brazílie\Výběr pro TZ\Fiotec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19" cy="142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665">
        <w:rPr>
          <w:i/>
          <w:lang w:eastAsia="cs-CZ"/>
        </w:rPr>
        <w:t>„</w:t>
      </w:r>
      <w:r w:rsidR="008B39D4">
        <w:rPr>
          <w:i/>
          <w:lang w:eastAsia="cs-CZ"/>
        </w:rPr>
        <w:t xml:space="preserve">Nadace </w:t>
      </w:r>
      <w:proofErr w:type="spellStart"/>
      <w:r w:rsidR="008B39D4">
        <w:rPr>
          <w:i/>
          <w:lang w:eastAsia="cs-CZ"/>
        </w:rPr>
        <w:t>Fiotec</w:t>
      </w:r>
      <w:proofErr w:type="spellEnd"/>
      <w:r w:rsidR="008B39D4">
        <w:rPr>
          <w:i/>
          <w:lang w:eastAsia="cs-CZ"/>
        </w:rPr>
        <w:t xml:space="preserve"> </w:t>
      </w:r>
      <w:r w:rsidR="002D75D7">
        <w:rPr>
          <w:i/>
          <w:lang w:eastAsia="cs-CZ"/>
        </w:rPr>
        <w:t>sídlila v nevyhovující budově a potřebovala pro svou centrálu nové moderní prostory. H</w:t>
      </w:r>
      <w:r w:rsidR="008B39D4">
        <w:rPr>
          <w:i/>
          <w:lang w:eastAsia="cs-CZ"/>
        </w:rPr>
        <w:t xml:space="preserve">ledala </w:t>
      </w:r>
      <w:r w:rsidR="002D75D7">
        <w:rPr>
          <w:i/>
          <w:lang w:eastAsia="cs-CZ"/>
        </w:rPr>
        <w:t xml:space="preserve">také </w:t>
      </w:r>
      <w:r w:rsidR="008B39D4">
        <w:rPr>
          <w:i/>
          <w:lang w:eastAsia="cs-CZ"/>
        </w:rPr>
        <w:t xml:space="preserve">nový efektivní způsob výstavby, který bude rychlý a </w:t>
      </w:r>
      <w:r w:rsidR="002D75D7">
        <w:rPr>
          <w:i/>
          <w:lang w:eastAsia="cs-CZ"/>
        </w:rPr>
        <w:t xml:space="preserve">zároveň </w:t>
      </w:r>
      <w:r w:rsidR="008B39D4">
        <w:rPr>
          <w:i/>
          <w:lang w:eastAsia="cs-CZ"/>
        </w:rPr>
        <w:t>šetrný k životnímu prostředí. Volba tak padla n</w:t>
      </w:r>
      <w:r w:rsidR="00B44F30" w:rsidRPr="00B44F30">
        <w:rPr>
          <w:i/>
          <w:lang w:eastAsia="cs-CZ"/>
        </w:rPr>
        <w:t>a modulovou technologii</w:t>
      </w:r>
      <w:r w:rsidR="008B39D4">
        <w:rPr>
          <w:i/>
          <w:lang w:eastAsia="cs-CZ"/>
        </w:rPr>
        <w:t xml:space="preserve">, která na rozdíl od běžných staveb produkuje mnohem méně odpadového materiálu. Ekologické hledisko bylo pro klienta velmi důležité, proto byla do budovy </w:t>
      </w:r>
      <w:r w:rsidR="00970665" w:rsidRPr="00970665">
        <w:rPr>
          <w:i/>
          <w:lang w:eastAsia="cs-CZ"/>
        </w:rPr>
        <w:t>instal</w:t>
      </w:r>
      <w:r w:rsidR="008B39D4">
        <w:rPr>
          <w:i/>
          <w:lang w:eastAsia="cs-CZ"/>
        </w:rPr>
        <w:t xml:space="preserve">ována </w:t>
      </w:r>
      <w:r w:rsidR="002D75D7">
        <w:rPr>
          <w:i/>
          <w:lang w:eastAsia="cs-CZ"/>
        </w:rPr>
        <w:t xml:space="preserve">úsporná </w:t>
      </w:r>
      <w:r w:rsidR="00970665" w:rsidRPr="00970665">
        <w:rPr>
          <w:i/>
          <w:lang w:eastAsia="cs-CZ"/>
        </w:rPr>
        <w:t>LED svítidl</w:t>
      </w:r>
      <w:r w:rsidR="008B39D4">
        <w:rPr>
          <w:i/>
          <w:lang w:eastAsia="cs-CZ"/>
        </w:rPr>
        <w:t>a</w:t>
      </w:r>
      <w:r w:rsidR="00970665" w:rsidRPr="00970665">
        <w:rPr>
          <w:i/>
          <w:lang w:eastAsia="cs-CZ"/>
        </w:rPr>
        <w:t xml:space="preserve"> a systém recyklace dešťové a</w:t>
      </w:r>
      <w:r w:rsidR="000B365F">
        <w:rPr>
          <w:i/>
          <w:lang w:eastAsia="cs-CZ"/>
        </w:rPr>
        <w:t> </w:t>
      </w:r>
      <w:r w:rsidR="00970665" w:rsidRPr="00970665">
        <w:rPr>
          <w:i/>
          <w:lang w:eastAsia="cs-CZ"/>
        </w:rPr>
        <w:t>splaškové vody</w:t>
      </w:r>
      <w:r w:rsidR="008B39D4">
        <w:rPr>
          <w:lang w:eastAsia="cs-CZ"/>
        </w:rPr>
        <w:t>,</w:t>
      </w:r>
      <w:r w:rsidR="008B39D4">
        <w:rPr>
          <w:i/>
          <w:lang w:eastAsia="cs-CZ"/>
        </w:rPr>
        <w:t>“</w:t>
      </w:r>
      <w:r w:rsidR="008B39D4">
        <w:rPr>
          <w:b/>
          <w:i/>
          <w:lang w:eastAsia="cs-CZ"/>
        </w:rPr>
        <w:t xml:space="preserve"> </w:t>
      </w:r>
      <w:r w:rsidR="008B39D4" w:rsidRPr="0059772C">
        <w:rPr>
          <w:lang w:eastAsia="cs-CZ"/>
        </w:rPr>
        <w:t>ř</w:t>
      </w:r>
      <w:r w:rsidR="008B39D4">
        <w:rPr>
          <w:lang w:eastAsia="cs-CZ"/>
        </w:rPr>
        <w:t>íká Jan Petr.</w:t>
      </w:r>
      <w:r w:rsidR="00970665" w:rsidRPr="00970665">
        <w:rPr>
          <w:i/>
          <w:lang w:eastAsia="cs-CZ"/>
        </w:rPr>
        <w:t xml:space="preserve"> </w:t>
      </w:r>
      <w:r w:rsidR="002D75D7" w:rsidRPr="00D370D6">
        <w:rPr>
          <w:lang w:eastAsia="cs-CZ"/>
        </w:rPr>
        <w:t>Místo</w:t>
      </w:r>
      <w:r w:rsidR="002D75D7">
        <w:rPr>
          <w:i/>
          <w:lang w:eastAsia="cs-CZ"/>
        </w:rPr>
        <w:t xml:space="preserve"> </w:t>
      </w:r>
      <w:r w:rsidR="008B39D4" w:rsidRPr="008B39D4">
        <w:rPr>
          <w:lang w:eastAsia="cs-CZ"/>
        </w:rPr>
        <w:t xml:space="preserve">50 stromů, které </w:t>
      </w:r>
      <w:r w:rsidR="008B39D4" w:rsidRPr="00D370D6">
        <w:rPr>
          <w:lang w:eastAsia="cs-CZ"/>
        </w:rPr>
        <w:t xml:space="preserve">musely být </w:t>
      </w:r>
      <w:r w:rsidR="008B39D4" w:rsidRPr="008B39D4">
        <w:rPr>
          <w:lang w:eastAsia="cs-CZ"/>
        </w:rPr>
        <w:t xml:space="preserve">z důvody stavby pokáceny, </w:t>
      </w:r>
      <w:r w:rsidR="002D75D7">
        <w:rPr>
          <w:lang w:eastAsia="cs-CZ"/>
        </w:rPr>
        <w:t xml:space="preserve">pak </w:t>
      </w:r>
      <w:proofErr w:type="spellStart"/>
      <w:r w:rsidR="002D75D7">
        <w:rPr>
          <w:lang w:eastAsia="cs-CZ"/>
        </w:rPr>
        <w:t>Fiotec</w:t>
      </w:r>
      <w:proofErr w:type="spellEnd"/>
      <w:r w:rsidR="002D75D7">
        <w:rPr>
          <w:lang w:eastAsia="cs-CZ"/>
        </w:rPr>
        <w:t xml:space="preserve"> zajistil </w:t>
      </w:r>
      <w:r w:rsidR="008B39D4" w:rsidRPr="002D75D7">
        <w:rPr>
          <w:lang w:eastAsia="cs-CZ"/>
        </w:rPr>
        <w:t>po celém městě vysázen</w:t>
      </w:r>
      <w:r w:rsidR="002D75D7">
        <w:rPr>
          <w:lang w:eastAsia="cs-CZ"/>
        </w:rPr>
        <w:t>í</w:t>
      </w:r>
      <w:r w:rsidR="008B39D4" w:rsidRPr="002D75D7">
        <w:rPr>
          <w:lang w:eastAsia="cs-CZ"/>
        </w:rPr>
        <w:t xml:space="preserve"> 622 nových sazenic.</w:t>
      </w:r>
    </w:p>
    <w:p w14:paraId="6C186CE1" w14:textId="3796E9C8" w:rsidR="00060CA9" w:rsidRPr="00060CA9" w:rsidRDefault="000B365F" w:rsidP="00060CA9">
      <w:pPr>
        <w:spacing w:after="200" w:line="360" w:lineRule="auto"/>
        <w:jc w:val="both"/>
        <w:rPr>
          <w:lang w:eastAsia="cs-CZ"/>
        </w:rPr>
      </w:pPr>
      <w:r>
        <w:rPr>
          <w:lang w:eastAsia="cs-CZ"/>
        </w:rPr>
        <w:t xml:space="preserve">Centrála nadace vznikla jako trvalá </w:t>
      </w:r>
      <w:r w:rsidR="00A67E52">
        <w:rPr>
          <w:lang w:eastAsia="cs-CZ"/>
        </w:rPr>
        <w:t xml:space="preserve">dvoupatrová </w:t>
      </w:r>
      <w:r>
        <w:rPr>
          <w:lang w:eastAsia="cs-CZ"/>
        </w:rPr>
        <w:t xml:space="preserve">stavba </w:t>
      </w:r>
      <w:r w:rsidR="00D446A7">
        <w:rPr>
          <w:lang w:eastAsia="cs-CZ"/>
        </w:rPr>
        <w:t>obdélníkového</w:t>
      </w:r>
      <w:r w:rsidR="00A67E52">
        <w:rPr>
          <w:lang w:eastAsia="cs-CZ"/>
        </w:rPr>
        <w:t xml:space="preserve"> tvaru </w:t>
      </w:r>
      <w:r>
        <w:rPr>
          <w:lang w:eastAsia="cs-CZ"/>
        </w:rPr>
        <w:t>s hrubou podlažní plochou 3 210 m</w:t>
      </w:r>
      <w:r w:rsidRPr="004E5E08">
        <w:rPr>
          <w:vertAlign w:val="superscript"/>
          <w:lang w:eastAsia="cs-CZ"/>
        </w:rPr>
        <w:t>2</w:t>
      </w:r>
      <w:r>
        <w:rPr>
          <w:lang w:eastAsia="cs-CZ"/>
        </w:rPr>
        <w:t xml:space="preserve">, </w:t>
      </w:r>
      <w:r w:rsidR="00A67E52">
        <w:rPr>
          <w:lang w:eastAsia="cs-CZ"/>
        </w:rPr>
        <w:t xml:space="preserve">výraznou prosklenou fasádou a </w:t>
      </w:r>
      <w:r w:rsidR="00D446A7">
        <w:rPr>
          <w:lang w:eastAsia="cs-CZ"/>
        </w:rPr>
        <w:t>vnitřním</w:t>
      </w:r>
      <w:r>
        <w:rPr>
          <w:lang w:eastAsia="cs-CZ"/>
        </w:rPr>
        <w:t xml:space="preserve"> </w:t>
      </w:r>
      <w:r w:rsidR="00A67E52">
        <w:rPr>
          <w:lang w:eastAsia="cs-CZ"/>
        </w:rPr>
        <w:t>atriem</w:t>
      </w:r>
      <w:r>
        <w:rPr>
          <w:lang w:eastAsia="cs-CZ"/>
        </w:rPr>
        <w:t xml:space="preserve">, </w:t>
      </w:r>
      <w:r w:rsidR="00A67E52">
        <w:rPr>
          <w:lang w:eastAsia="cs-CZ"/>
        </w:rPr>
        <w:t>ve kterém jsou vysázeny pro Brazílii typické rostliny</w:t>
      </w:r>
      <w:r>
        <w:rPr>
          <w:lang w:eastAsia="cs-CZ"/>
        </w:rPr>
        <w:t xml:space="preserve">. </w:t>
      </w:r>
      <w:r w:rsidR="000B11E1">
        <w:rPr>
          <w:lang w:eastAsia="cs-CZ"/>
        </w:rPr>
        <w:t>Proti evropským zvyklostem a </w:t>
      </w:r>
      <w:r w:rsidR="00A67E52">
        <w:rPr>
          <w:lang w:eastAsia="cs-CZ"/>
        </w:rPr>
        <w:t>standardům</w:t>
      </w:r>
      <w:r w:rsidRPr="006625DC">
        <w:rPr>
          <w:lang w:eastAsia="cs-CZ"/>
        </w:rPr>
        <w:t xml:space="preserve"> se zakázka lišila mimo jiné tím, že </w:t>
      </w:r>
      <w:r w:rsidR="00D446A7">
        <w:rPr>
          <w:lang w:eastAsia="cs-CZ"/>
        </w:rPr>
        <w:t>vnitřní</w:t>
      </w:r>
      <w:r w:rsidR="00A67E52">
        <w:rPr>
          <w:lang w:eastAsia="cs-CZ"/>
        </w:rPr>
        <w:t xml:space="preserve"> </w:t>
      </w:r>
      <w:r w:rsidRPr="006625DC">
        <w:rPr>
          <w:lang w:eastAsia="cs-CZ"/>
        </w:rPr>
        <w:t xml:space="preserve">stěnový systém </w:t>
      </w:r>
      <w:r w:rsidR="00A67E52">
        <w:rPr>
          <w:lang w:eastAsia="cs-CZ"/>
        </w:rPr>
        <w:t>příček byl řešen</w:t>
      </w:r>
      <w:r w:rsidRPr="006625DC">
        <w:rPr>
          <w:lang w:eastAsia="cs-CZ"/>
        </w:rPr>
        <w:t> PUR panel</w:t>
      </w:r>
      <w:r w:rsidR="00A67E52">
        <w:rPr>
          <w:lang w:eastAsia="cs-CZ"/>
        </w:rPr>
        <w:t>y</w:t>
      </w:r>
      <w:r w:rsidRPr="006625DC">
        <w:rPr>
          <w:lang w:eastAsia="cs-CZ"/>
        </w:rPr>
        <w:t xml:space="preserve"> a podlah</w:t>
      </w:r>
      <w:r w:rsidR="00327E0C">
        <w:rPr>
          <w:lang w:eastAsia="cs-CZ"/>
        </w:rPr>
        <w:t xml:space="preserve">a byla vylitá </w:t>
      </w:r>
      <w:r w:rsidR="00327E0C">
        <w:rPr>
          <w:lang w:eastAsia="cs-CZ"/>
        </w:rPr>
        <w:lastRenderedPageBreak/>
        <w:t>betonem</w:t>
      </w:r>
      <w:r w:rsidRPr="00060CA9">
        <w:rPr>
          <w:lang w:eastAsia="cs-CZ"/>
        </w:rPr>
        <w:t xml:space="preserve">. </w:t>
      </w:r>
      <w:r w:rsidR="00C0093B">
        <w:rPr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CBB33F" wp14:editId="7846B10D">
            <wp:simplePos x="0" y="0"/>
            <wp:positionH relativeFrom="margin">
              <wp:align>left</wp:align>
            </wp:positionH>
            <wp:positionV relativeFrom="paragraph">
              <wp:posOffset>601345</wp:posOffset>
            </wp:positionV>
            <wp:extent cx="2296800" cy="1519200"/>
            <wp:effectExtent l="0" t="0" r="8255" b="5080"/>
            <wp:wrapTight wrapText="bothSides">
              <wp:wrapPolygon edited="0">
                <wp:start x="0" y="0"/>
                <wp:lineTo x="0" y="21401"/>
                <wp:lineTo x="21498" y="21401"/>
                <wp:lineTo x="21498" y="0"/>
                <wp:lineTo x="0" y="0"/>
              </wp:wrapPolygon>
            </wp:wrapTight>
            <wp:docPr id="4" name="Obrázek 4" descr="I:\PR-Reality\Touax\Fotografie\Fiotec Brazílie\Výběr pro TZ\Fiote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Touax\Fotografie\Fiotec Brazílie\Výběr pro TZ\Fiotec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15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E0C" w:rsidRPr="00327E0C">
        <w:rPr>
          <w:lang w:eastAsia="cs-CZ"/>
        </w:rPr>
        <w:t>Z důvodu minimalizace</w:t>
      </w:r>
      <w:r w:rsidR="00327E0C" w:rsidRPr="00A3667C">
        <w:rPr>
          <w:lang w:eastAsia="cs-CZ"/>
        </w:rPr>
        <w:t xml:space="preserve"> nákladů na námořní přepravu byly zvoleny moduly z </w:t>
      </w:r>
      <w:r w:rsidR="00A35D34">
        <w:rPr>
          <w:lang w:eastAsia="cs-CZ"/>
        </w:rPr>
        <w:t xml:space="preserve">produktové řady </w:t>
      </w:r>
      <w:proofErr w:type="spellStart"/>
      <w:r w:rsidR="00327E0C">
        <w:rPr>
          <w:lang w:eastAsia="cs-CZ"/>
        </w:rPr>
        <w:t>Economy</w:t>
      </w:r>
      <w:proofErr w:type="spellEnd"/>
      <w:r w:rsidR="00327E0C">
        <w:rPr>
          <w:lang w:eastAsia="cs-CZ"/>
        </w:rPr>
        <w:t xml:space="preserve">, které bylo možné naložit do </w:t>
      </w:r>
      <w:proofErr w:type="spellStart"/>
      <w:r w:rsidR="00327E0C">
        <w:rPr>
          <w:lang w:eastAsia="cs-CZ"/>
        </w:rPr>
        <w:t>High</w:t>
      </w:r>
      <w:proofErr w:type="spellEnd"/>
      <w:r w:rsidR="00327E0C">
        <w:rPr>
          <w:lang w:eastAsia="cs-CZ"/>
        </w:rPr>
        <w:t xml:space="preserve"> </w:t>
      </w:r>
      <w:proofErr w:type="spellStart"/>
      <w:r w:rsidR="00327E0C">
        <w:rPr>
          <w:lang w:eastAsia="cs-CZ"/>
        </w:rPr>
        <w:t>Cube</w:t>
      </w:r>
      <w:proofErr w:type="spellEnd"/>
      <w:r w:rsidR="00327E0C">
        <w:rPr>
          <w:lang w:eastAsia="cs-CZ"/>
        </w:rPr>
        <w:t xml:space="preserve"> námořních kontejnerů ve for</w:t>
      </w:r>
      <w:r w:rsidR="000B11E1">
        <w:rPr>
          <w:lang w:eastAsia="cs-CZ"/>
        </w:rPr>
        <w:t xml:space="preserve">mě speciálního balení </w:t>
      </w:r>
      <w:proofErr w:type="spellStart"/>
      <w:r w:rsidR="000B11E1">
        <w:rPr>
          <w:lang w:eastAsia="cs-CZ"/>
        </w:rPr>
        <w:t>ExtraPack</w:t>
      </w:r>
      <w:proofErr w:type="spellEnd"/>
      <w:r w:rsidR="000B11E1">
        <w:rPr>
          <w:lang w:eastAsia="cs-CZ"/>
        </w:rPr>
        <w:t xml:space="preserve">. </w:t>
      </w:r>
      <w:r w:rsidR="00060CA9" w:rsidRPr="00D370D6">
        <w:rPr>
          <w:i/>
          <w:lang w:eastAsia="cs-CZ"/>
        </w:rPr>
        <w:t>„</w:t>
      </w:r>
      <w:r w:rsidR="00D85D2A" w:rsidRPr="00D370D6">
        <w:rPr>
          <w:i/>
          <w:lang w:eastAsia="cs-CZ"/>
        </w:rPr>
        <w:t xml:space="preserve">Jednou z výhod </w:t>
      </w:r>
      <w:r w:rsidR="00327E0C">
        <w:rPr>
          <w:i/>
          <w:lang w:eastAsia="cs-CZ"/>
        </w:rPr>
        <w:t>modulové výstavby je</w:t>
      </w:r>
      <w:r w:rsidR="00710C29" w:rsidRPr="00D370D6">
        <w:rPr>
          <w:i/>
          <w:lang w:eastAsia="cs-CZ"/>
        </w:rPr>
        <w:t xml:space="preserve"> </w:t>
      </w:r>
      <w:r w:rsidR="00327E0C">
        <w:rPr>
          <w:i/>
          <w:lang w:eastAsia="cs-CZ"/>
        </w:rPr>
        <w:t>rychlost</w:t>
      </w:r>
      <w:r w:rsidR="00710C29" w:rsidRPr="00D370D6">
        <w:rPr>
          <w:i/>
          <w:lang w:eastAsia="cs-CZ"/>
        </w:rPr>
        <w:t xml:space="preserve"> montáže, </w:t>
      </w:r>
      <w:r w:rsidR="00060CA9">
        <w:rPr>
          <w:i/>
          <w:lang w:eastAsia="cs-CZ"/>
        </w:rPr>
        <w:t xml:space="preserve">která umožňuje </w:t>
      </w:r>
      <w:r w:rsidR="00327E0C">
        <w:rPr>
          <w:i/>
          <w:lang w:eastAsia="cs-CZ"/>
        </w:rPr>
        <w:t>realizovat objekty v řádů dnů, maximálně několika týdnů</w:t>
      </w:r>
      <w:r w:rsidR="00060CA9">
        <w:rPr>
          <w:i/>
          <w:lang w:eastAsia="cs-CZ"/>
        </w:rPr>
        <w:t xml:space="preserve">. </w:t>
      </w:r>
      <w:r w:rsidR="00327E0C">
        <w:rPr>
          <w:i/>
          <w:lang w:eastAsia="cs-CZ"/>
        </w:rPr>
        <w:t xml:space="preserve">Budova </w:t>
      </w:r>
      <w:proofErr w:type="spellStart"/>
      <w:r w:rsidR="00327E0C">
        <w:rPr>
          <w:i/>
          <w:lang w:eastAsia="cs-CZ"/>
        </w:rPr>
        <w:t>Fiotec</w:t>
      </w:r>
      <w:proofErr w:type="spellEnd"/>
      <w:r w:rsidR="00327E0C">
        <w:rPr>
          <w:i/>
          <w:lang w:eastAsia="cs-CZ"/>
        </w:rPr>
        <w:t xml:space="preserve"> byla postavena za „dlouhých“ sedm měsíců, n</w:t>
      </w:r>
      <w:r w:rsidR="00060CA9">
        <w:rPr>
          <w:i/>
          <w:lang w:eastAsia="cs-CZ"/>
        </w:rPr>
        <w:t xml:space="preserve">a brazilské poměry šlo </w:t>
      </w:r>
      <w:r w:rsidR="00327E0C">
        <w:rPr>
          <w:i/>
          <w:lang w:eastAsia="cs-CZ"/>
        </w:rPr>
        <w:t xml:space="preserve">však </w:t>
      </w:r>
      <w:r w:rsidR="00060CA9">
        <w:rPr>
          <w:i/>
          <w:lang w:eastAsia="cs-CZ"/>
        </w:rPr>
        <w:t>o</w:t>
      </w:r>
      <w:r>
        <w:rPr>
          <w:i/>
          <w:lang w:eastAsia="cs-CZ"/>
        </w:rPr>
        <w:t> </w:t>
      </w:r>
      <w:r w:rsidR="00060CA9">
        <w:rPr>
          <w:i/>
          <w:lang w:eastAsia="cs-CZ"/>
        </w:rPr>
        <w:t xml:space="preserve">extrémně rychlou realizaci,“ </w:t>
      </w:r>
      <w:r w:rsidR="00060CA9" w:rsidRPr="00D370D6">
        <w:rPr>
          <w:lang w:eastAsia="cs-CZ"/>
        </w:rPr>
        <w:t>dodává Jan Petr.</w:t>
      </w:r>
      <w:r w:rsidR="00710C29">
        <w:rPr>
          <w:lang w:eastAsia="cs-CZ"/>
        </w:rPr>
        <w:t xml:space="preserve"> </w:t>
      </w:r>
      <w:r>
        <w:rPr>
          <w:lang w:eastAsia="cs-CZ"/>
        </w:rPr>
        <w:t xml:space="preserve">Při slavnostním otevření prezident nadace </w:t>
      </w:r>
      <w:proofErr w:type="spellStart"/>
      <w:r>
        <w:rPr>
          <w:lang w:eastAsia="cs-CZ"/>
        </w:rPr>
        <w:t>Fiocruz</w:t>
      </w:r>
      <w:proofErr w:type="spellEnd"/>
      <w:r>
        <w:rPr>
          <w:lang w:eastAsia="cs-CZ"/>
        </w:rPr>
        <w:t xml:space="preserve"> Paulo </w:t>
      </w:r>
      <w:proofErr w:type="spellStart"/>
      <w:r>
        <w:rPr>
          <w:lang w:eastAsia="cs-CZ"/>
        </w:rPr>
        <w:t>Gadelha</w:t>
      </w:r>
      <w:proofErr w:type="spellEnd"/>
      <w:r>
        <w:rPr>
          <w:lang w:eastAsia="cs-CZ"/>
        </w:rPr>
        <w:t xml:space="preserve"> uvedl, že nová centrála </w:t>
      </w:r>
      <w:proofErr w:type="spellStart"/>
      <w:r>
        <w:rPr>
          <w:lang w:eastAsia="cs-CZ"/>
        </w:rPr>
        <w:t>Fiotecu</w:t>
      </w:r>
      <w:proofErr w:type="spellEnd"/>
      <w:r>
        <w:rPr>
          <w:lang w:eastAsia="cs-CZ"/>
        </w:rPr>
        <w:t xml:space="preserve"> postavená z modulů jim ukázala nový směr kvalitní, rychlé a</w:t>
      </w:r>
      <w:r w:rsidR="0052570F">
        <w:rPr>
          <w:lang w:eastAsia="cs-CZ"/>
        </w:rPr>
        <w:t> </w:t>
      </w:r>
      <w:r>
        <w:rPr>
          <w:lang w:eastAsia="cs-CZ"/>
        </w:rPr>
        <w:t xml:space="preserve">úsporné výstavby, kterou budou </w:t>
      </w:r>
      <w:r w:rsidR="0052570F">
        <w:rPr>
          <w:lang w:eastAsia="cs-CZ"/>
        </w:rPr>
        <w:t xml:space="preserve">určitě </w:t>
      </w:r>
      <w:r>
        <w:rPr>
          <w:lang w:eastAsia="cs-CZ"/>
        </w:rPr>
        <w:t xml:space="preserve">dále využívat. Dokladem jeho slov je druhá zakázka, </w:t>
      </w:r>
      <w:r w:rsidR="0052570F">
        <w:rPr>
          <w:lang w:eastAsia="cs-CZ"/>
        </w:rPr>
        <w:t xml:space="preserve">jež </w:t>
      </w:r>
      <w:r>
        <w:rPr>
          <w:lang w:eastAsia="cs-CZ"/>
        </w:rPr>
        <w:t>Touax v</w:t>
      </w:r>
      <w:r w:rsidR="007C3B40">
        <w:rPr>
          <w:lang w:eastAsia="cs-CZ"/>
        </w:rPr>
        <w:t xml:space="preserve"> Rio de </w:t>
      </w:r>
      <w:proofErr w:type="spellStart"/>
      <w:r w:rsidR="007C3B40">
        <w:rPr>
          <w:lang w:eastAsia="cs-CZ"/>
        </w:rPr>
        <w:t>Janeiru</w:t>
      </w:r>
      <w:proofErr w:type="spellEnd"/>
      <w:r w:rsidR="007C3B40">
        <w:rPr>
          <w:lang w:eastAsia="cs-CZ"/>
        </w:rPr>
        <w:t xml:space="preserve"> </w:t>
      </w:r>
      <w:r>
        <w:rPr>
          <w:lang w:eastAsia="cs-CZ"/>
        </w:rPr>
        <w:t xml:space="preserve">získal. </w:t>
      </w:r>
      <w:r w:rsidR="007C3B40">
        <w:rPr>
          <w:lang w:eastAsia="cs-CZ"/>
        </w:rPr>
        <w:t xml:space="preserve">Pro nadaci </w:t>
      </w:r>
      <w:proofErr w:type="spellStart"/>
      <w:r w:rsidR="007C3B40">
        <w:rPr>
          <w:lang w:eastAsia="cs-CZ"/>
        </w:rPr>
        <w:t>Fiocruz</w:t>
      </w:r>
      <w:proofErr w:type="spellEnd"/>
      <w:r w:rsidR="007C3B40">
        <w:rPr>
          <w:lang w:eastAsia="cs-CZ"/>
        </w:rPr>
        <w:t xml:space="preserve"> </w:t>
      </w:r>
      <w:r w:rsidR="0052570F">
        <w:rPr>
          <w:lang w:eastAsia="cs-CZ"/>
        </w:rPr>
        <w:t xml:space="preserve">už </w:t>
      </w:r>
      <w:r w:rsidR="00327E0C">
        <w:rPr>
          <w:lang w:eastAsia="cs-CZ"/>
        </w:rPr>
        <w:t>staví v</w:t>
      </w:r>
      <w:r w:rsidR="007C3B40">
        <w:rPr>
          <w:lang w:eastAsia="cs-CZ"/>
        </w:rPr>
        <w:t> kampusu dvoupodlažní kancelářskou budovu o ploše 800 m</w:t>
      </w:r>
      <w:r w:rsidR="007C3B40" w:rsidRPr="00D370D6">
        <w:rPr>
          <w:vertAlign w:val="superscript"/>
          <w:lang w:eastAsia="cs-CZ"/>
        </w:rPr>
        <w:t>2</w:t>
      </w:r>
      <w:r w:rsidR="007C3B40">
        <w:rPr>
          <w:lang w:eastAsia="cs-CZ"/>
        </w:rPr>
        <w:t>.</w:t>
      </w:r>
    </w:p>
    <w:p w14:paraId="71EDC0F0" w14:textId="77777777" w:rsidR="00060CA9" w:rsidRDefault="00060CA9" w:rsidP="001A6F27">
      <w:pPr>
        <w:spacing w:after="200" w:line="360" w:lineRule="auto"/>
        <w:jc w:val="both"/>
        <w:rPr>
          <w:lang w:eastAsia="cs-CZ"/>
        </w:rPr>
      </w:pPr>
    </w:p>
    <w:p w14:paraId="0E136791" w14:textId="77777777" w:rsidR="00D85D2A" w:rsidRDefault="00D85D2A" w:rsidP="00DE5A79">
      <w:pPr>
        <w:spacing w:line="360" w:lineRule="auto"/>
        <w:ind w:left="360" w:right="279"/>
        <w:jc w:val="both"/>
        <w:outlineLvl w:val="0"/>
      </w:pPr>
    </w:p>
    <w:p w14:paraId="5CB275A5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59FD76E" w14:textId="67F7BED1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30185B86" w14:textId="448C9575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15D345B4" w14:textId="17FED8C5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0B11E1">
        <w:rPr>
          <w:sz w:val="18"/>
          <w:szCs w:val="18"/>
        </w:rPr>
        <w:t>Veronika Borák</w:t>
      </w:r>
      <w:r w:rsidR="00B912CB">
        <w:rPr>
          <w:sz w:val="18"/>
          <w:szCs w:val="18"/>
        </w:rPr>
        <w:t>ová</w:t>
      </w:r>
    </w:p>
    <w:p w14:paraId="6525D8B0" w14:textId="4C7277E4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</w:t>
      </w:r>
      <w:r w:rsidR="000B11E1">
        <w:rPr>
          <w:sz w:val="18"/>
          <w:szCs w:val="18"/>
        </w:rPr>
        <w:t> </w:t>
      </w:r>
      <w:r w:rsidR="00B912CB" w:rsidRPr="00763369">
        <w:rPr>
          <w:sz w:val="18"/>
          <w:szCs w:val="18"/>
        </w:rPr>
        <w:t>7</w:t>
      </w:r>
      <w:r w:rsidR="000B11E1">
        <w:rPr>
          <w:sz w:val="18"/>
          <w:szCs w:val="18"/>
        </w:rPr>
        <w:t>73 501 477</w:t>
      </w:r>
    </w:p>
    <w:p w14:paraId="52BD9B09" w14:textId="52DE2D37" w:rsidR="00B912CB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1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2" w:history="1">
        <w:r w:rsidR="000B11E1" w:rsidRPr="00AA2C60">
          <w:rPr>
            <w:rStyle w:val="Hypertextovodkaz"/>
            <w:sz w:val="18"/>
            <w:szCs w:val="18"/>
          </w:rPr>
          <w:t>veronika.borakova@crestcom.cz</w:t>
        </w:r>
      </w:hyperlink>
    </w:p>
    <w:p w14:paraId="298657CF" w14:textId="77777777" w:rsidR="00750CDB" w:rsidRPr="00763369" w:rsidRDefault="00750CDB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F1899A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2338B0EA" w14:textId="77777777" w:rsidR="005223A3" w:rsidRPr="001B7CBE" w:rsidRDefault="005223A3" w:rsidP="00F03D42"/>
    <w:sectPr w:rsidR="005223A3" w:rsidRPr="001B7CBE" w:rsidSect="000D67AA">
      <w:headerReference w:type="default" r:id="rId13"/>
      <w:footerReference w:type="default" r:id="rId14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F47D" w14:textId="77777777" w:rsidR="00816674" w:rsidRDefault="00816674" w:rsidP="00EE3EA8">
      <w:r>
        <w:separator/>
      </w:r>
    </w:p>
  </w:endnote>
  <w:endnote w:type="continuationSeparator" w:id="0">
    <w:p w14:paraId="5C41B63C" w14:textId="77777777" w:rsidR="00816674" w:rsidRDefault="00816674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5F226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Pr="000D67AA">
      <w:rPr>
        <w:b/>
        <w:color w:val="002065"/>
        <w:sz w:val="16"/>
        <w:szCs w:val="16"/>
      </w:rPr>
      <w:t>Touax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42184203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T: +420 234</w:t>
    </w:r>
    <w:r w:rsidR="00A3667C">
      <w:rPr>
        <w:color w:val="002065"/>
        <w:sz w:val="16"/>
        <w:szCs w:val="16"/>
      </w:rPr>
      <w:t xml:space="preserve"> 712 211</w:t>
    </w:r>
    <w:r w:rsidRPr="000D67AA">
      <w:rPr>
        <w:color w:val="002065"/>
        <w:sz w:val="16"/>
        <w:szCs w:val="16"/>
      </w:rPr>
      <w:t xml:space="preserve">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9F07" w14:textId="77777777" w:rsidR="00816674" w:rsidRDefault="00816674" w:rsidP="00EE3EA8">
      <w:r>
        <w:separator/>
      </w:r>
    </w:p>
  </w:footnote>
  <w:footnote w:type="continuationSeparator" w:id="0">
    <w:p w14:paraId="7D77EB80" w14:textId="77777777" w:rsidR="00816674" w:rsidRDefault="00816674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C40C95"/>
    <w:multiLevelType w:val="multilevel"/>
    <w:tmpl w:val="B356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068B"/>
    <w:rsid w:val="000251A3"/>
    <w:rsid w:val="000252F3"/>
    <w:rsid w:val="000344C0"/>
    <w:rsid w:val="00037EF9"/>
    <w:rsid w:val="00060CA9"/>
    <w:rsid w:val="00071741"/>
    <w:rsid w:val="000779D3"/>
    <w:rsid w:val="00090E5E"/>
    <w:rsid w:val="000930E3"/>
    <w:rsid w:val="000939B1"/>
    <w:rsid w:val="000956FC"/>
    <w:rsid w:val="000A22E1"/>
    <w:rsid w:val="000B11E1"/>
    <w:rsid w:val="000B365F"/>
    <w:rsid w:val="000C0E34"/>
    <w:rsid w:val="000C4665"/>
    <w:rsid w:val="000C73AD"/>
    <w:rsid w:val="000C7781"/>
    <w:rsid w:val="000D5DF5"/>
    <w:rsid w:val="000D67AA"/>
    <w:rsid w:val="000F0FFD"/>
    <w:rsid w:val="000F1A29"/>
    <w:rsid w:val="000F68C6"/>
    <w:rsid w:val="000F6B7F"/>
    <w:rsid w:val="00102683"/>
    <w:rsid w:val="00110626"/>
    <w:rsid w:val="00126CC8"/>
    <w:rsid w:val="001278A0"/>
    <w:rsid w:val="00130684"/>
    <w:rsid w:val="001430C1"/>
    <w:rsid w:val="001443CD"/>
    <w:rsid w:val="00156E84"/>
    <w:rsid w:val="00163911"/>
    <w:rsid w:val="00164F68"/>
    <w:rsid w:val="001754DD"/>
    <w:rsid w:val="00177267"/>
    <w:rsid w:val="00184A8C"/>
    <w:rsid w:val="00194935"/>
    <w:rsid w:val="001A6F27"/>
    <w:rsid w:val="001B7CBE"/>
    <w:rsid w:val="001C3B7C"/>
    <w:rsid w:val="001F2CC5"/>
    <w:rsid w:val="001F2CE5"/>
    <w:rsid w:val="001F6135"/>
    <w:rsid w:val="0020756D"/>
    <w:rsid w:val="00217F14"/>
    <w:rsid w:val="002206E3"/>
    <w:rsid w:val="00224AC8"/>
    <w:rsid w:val="00227537"/>
    <w:rsid w:val="00245F3E"/>
    <w:rsid w:val="00253450"/>
    <w:rsid w:val="00255FDD"/>
    <w:rsid w:val="002579B4"/>
    <w:rsid w:val="0027140C"/>
    <w:rsid w:val="002753E5"/>
    <w:rsid w:val="002958A1"/>
    <w:rsid w:val="002972C1"/>
    <w:rsid w:val="002A1C7D"/>
    <w:rsid w:val="002A2084"/>
    <w:rsid w:val="002A37EC"/>
    <w:rsid w:val="002B1A32"/>
    <w:rsid w:val="002B5B05"/>
    <w:rsid w:val="002B699C"/>
    <w:rsid w:val="002B6A2E"/>
    <w:rsid w:val="002C346E"/>
    <w:rsid w:val="002D7311"/>
    <w:rsid w:val="002D75D7"/>
    <w:rsid w:val="002E3A37"/>
    <w:rsid w:val="002E4900"/>
    <w:rsid w:val="002F102F"/>
    <w:rsid w:val="002F1919"/>
    <w:rsid w:val="003103B6"/>
    <w:rsid w:val="003141FB"/>
    <w:rsid w:val="00314316"/>
    <w:rsid w:val="003270B4"/>
    <w:rsid w:val="00327E0C"/>
    <w:rsid w:val="00342DAA"/>
    <w:rsid w:val="00343C11"/>
    <w:rsid w:val="003447E5"/>
    <w:rsid w:val="00350735"/>
    <w:rsid w:val="0036361A"/>
    <w:rsid w:val="00370B4D"/>
    <w:rsid w:val="00384178"/>
    <w:rsid w:val="00385B95"/>
    <w:rsid w:val="00386F20"/>
    <w:rsid w:val="00390496"/>
    <w:rsid w:val="003904F9"/>
    <w:rsid w:val="0039152E"/>
    <w:rsid w:val="003935D1"/>
    <w:rsid w:val="003940AC"/>
    <w:rsid w:val="003A084D"/>
    <w:rsid w:val="003A2AC9"/>
    <w:rsid w:val="003D3DCF"/>
    <w:rsid w:val="003E0852"/>
    <w:rsid w:val="003E48D6"/>
    <w:rsid w:val="003E59E0"/>
    <w:rsid w:val="003E7694"/>
    <w:rsid w:val="004009E1"/>
    <w:rsid w:val="00403B78"/>
    <w:rsid w:val="00410AE3"/>
    <w:rsid w:val="004178F7"/>
    <w:rsid w:val="00421A50"/>
    <w:rsid w:val="00427533"/>
    <w:rsid w:val="00435289"/>
    <w:rsid w:val="00436A8C"/>
    <w:rsid w:val="00437ED5"/>
    <w:rsid w:val="004404BD"/>
    <w:rsid w:val="004446E0"/>
    <w:rsid w:val="00446521"/>
    <w:rsid w:val="0044727A"/>
    <w:rsid w:val="004718C1"/>
    <w:rsid w:val="004722BC"/>
    <w:rsid w:val="004804A1"/>
    <w:rsid w:val="004926BB"/>
    <w:rsid w:val="00492DB7"/>
    <w:rsid w:val="0049408E"/>
    <w:rsid w:val="00494DBB"/>
    <w:rsid w:val="004A0E4C"/>
    <w:rsid w:val="004A1E1F"/>
    <w:rsid w:val="004A6BD9"/>
    <w:rsid w:val="004B1B71"/>
    <w:rsid w:val="004B2AF5"/>
    <w:rsid w:val="004B6044"/>
    <w:rsid w:val="004E5E08"/>
    <w:rsid w:val="004F0861"/>
    <w:rsid w:val="00501A14"/>
    <w:rsid w:val="005158E2"/>
    <w:rsid w:val="00515971"/>
    <w:rsid w:val="00517065"/>
    <w:rsid w:val="00520E3B"/>
    <w:rsid w:val="00521FE7"/>
    <w:rsid w:val="005223A3"/>
    <w:rsid w:val="005240EE"/>
    <w:rsid w:val="0052570F"/>
    <w:rsid w:val="00532E8E"/>
    <w:rsid w:val="00567D43"/>
    <w:rsid w:val="005708F6"/>
    <w:rsid w:val="005765CF"/>
    <w:rsid w:val="0058044D"/>
    <w:rsid w:val="00587009"/>
    <w:rsid w:val="00597F1B"/>
    <w:rsid w:val="005A137C"/>
    <w:rsid w:val="005A3D77"/>
    <w:rsid w:val="005A40A5"/>
    <w:rsid w:val="005B3D26"/>
    <w:rsid w:val="005B7DCC"/>
    <w:rsid w:val="005D0ED6"/>
    <w:rsid w:val="005E35FB"/>
    <w:rsid w:val="005E6B1C"/>
    <w:rsid w:val="0060032C"/>
    <w:rsid w:val="00606745"/>
    <w:rsid w:val="0060780B"/>
    <w:rsid w:val="006117BF"/>
    <w:rsid w:val="006176AF"/>
    <w:rsid w:val="00620847"/>
    <w:rsid w:val="006237AD"/>
    <w:rsid w:val="00623858"/>
    <w:rsid w:val="006330B2"/>
    <w:rsid w:val="006518DA"/>
    <w:rsid w:val="00651B09"/>
    <w:rsid w:val="00652E13"/>
    <w:rsid w:val="00656CE4"/>
    <w:rsid w:val="0067131B"/>
    <w:rsid w:val="006721B2"/>
    <w:rsid w:val="0068718D"/>
    <w:rsid w:val="006A0B12"/>
    <w:rsid w:val="006A1758"/>
    <w:rsid w:val="006B1652"/>
    <w:rsid w:val="006B269D"/>
    <w:rsid w:val="006B3F66"/>
    <w:rsid w:val="006B748B"/>
    <w:rsid w:val="006B7EC3"/>
    <w:rsid w:val="006C3A87"/>
    <w:rsid w:val="006D31A4"/>
    <w:rsid w:val="006D3926"/>
    <w:rsid w:val="006D406A"/>
    <w:rsid w:val="006E23A8"/>
    <w:rsid w:val="006E31B9"/>
    <w:rsid w:val="006F4A5A"/>
    <w:rsid w:val="006F4DF7"/>
    <w:rsid w:val="006F4E79"/>
    <w:rsid w:val="006F5869"/>
    <w:rsid w:val="00702668"/>
    <w:rsid w:val="00705386"/>
    <w:rsid w:val="00710C29"/>
    <w:rsid w:val="00720F7F"/>
    <w:rsid w:val="00726622"/>
    <w:rsid w:val="00737DB8"/>
    <w:rsid w:val="00750CDB"/>
    <w:rsid w:val="0076446D"/>
    <w:rsid w:val="00791582"/>
    <w:rsid w:val="00794104"/>
    <w:rsid w:val="007A20D8"/>
    <w:rsid w:val="007B5207"/>
    <w:rsid w:val="007B5DB5"/>
    <w:rsid w:val="007C1C7F"/>
    <w:rsid w:val="007C3B40"/>
    <w:rsid w:val="007D0012"/>
    <w:rsid w:val="007F4230"/>
    <w:rsid w:val="007F453D"/>
    <w:rsid w:val="007F6189"/>
    <w:rsid w:val="00801D07"/>
    <w:rsid w:val="00805D99"/>
    <w:rsid w:val="00816674"/>
    <w:rsid w:val="0082230A"/>
    <w:rsid w:val="00826244"/>
    <w:rsid w:val="00827512"/>
    <w:rsid w:val="0084762F"/>
    <w:rsid w:val="00851DFF"/>
    <w:rsid w:val="00863454"/>
    <w:rsid w:val="00871A2F"/>
    <w:rsid w:val="00871EF4"/>
    <w:rsid w:val="00873639"/>
    <w:rsid w:val="00883AB4"/>
    <w:rsid w:val="008876F2"/>
    <w:rsid w:val="008877CE"/>
    <w:rsid w:val="008A05DD"/>
    <w:rsid w:val="008A7E92"/>
    <w:rsid w:val="008B0158"/>
    <w:rsid w:val="008B39D4"/>
    <w:rsid w:val="008B508A"/>
    <w:rsid w:val="008C39EB"/>
    <w:rsid w:val="008D120D"/>
    <w:rsid w:val="008D28CE"/>
    <w:rsid w:val="008D4751"/>
    <w:rsid w:val="008D7153"/>
    <w:rsid w:val="008E02CB"/>
    <w:rsid w:val="008E2D87"/>
    <w:rsid w:val="008E40C0"/>
    <w:rsid w:val="008E6CF9"/>
    <w:rsid w:val="008F0D42"/>
    <w:rsid w:val="008F13D2"/>
    <w:rsid w:val="00901CAB"/>
    <w:rsid w:val="00914405"/>
    <w:rsid w:val="009151C9"/>
    <w:rsid w:val="00915577"/>
    <w:rsid w:val="00916363"/>
    <w:rsid w:val="00920A55"/>
    <w:rsid w:val="00922265"/>
    <w:rsid w:val="00922884"/>
    <w:rsid w:val="00933033"/>
    <w:rsid w:val="00940E7A"/>
    <w:rsid w:val="00947429"/>
    <w:rsid w:val="0094745F"/>
    <w:rsid w:val="009479C2"/>
    <w:rsid w:val="009505BF"/>
    <w:rsid w:val="00951C72"/>
    <w:rsid w:val="009528FB"/>
    <w:rsid w:val="00961800"/>
    <w:rsid w:val="00970665"/>
    <w:rsid w:val="00974B75"/>
    <w:rsid w:val="00974F6C"/>
    <w:rsid w:val="00975518"/>
    <w:rsid w:val="00984281"/>
    <w:rsid w:val="00984469"/>
    <w:rsid w:val="009847B8"/>
    <w:rsid w:val="00990FB9"/>
    <w:rsid w:val="00992016"/>
    <w:rsid w:val="009955AC"/>
    <w:rsid w:val="0099641E"/>
    <w:rsid w:val="009A3036"/>
    <w:rsid w:val="009B6553"/>
    <w:rsid w:val="009C1322"/>
    <w:rsid w:val="009C7716"/>
    <w:rsid w:val="009D3597"/>
    <w:rsid w:val="009E5F5A"/>
    <w:rsid w:val="009E6DE3"/>
    <w:rsid w:val="00A055A4"/>
    <w:rsid w:val="00A079AF"/>
    <w:rsid w:val="00A12061"/>
    <w:rsid w:val="00A136E3"/>
    <w:rsid w:val="00A15840"/>
    <w:rsid w:val="00A15911"/>
    <w:rsid w:val="00A20E14"/>
    <w:rsid w:val="00A30C3C"/>
    <w:rsid w:val="00A3583C"/>
    <w:rsid w:val="00A35D34"/>
    <w:rsid w:val="00A3667C"/>
    <w:rsid w:val="00A37441"/>
    <w:rsid w:val="00A41440"/>
    <w:rsid w:val="00A477C7"/>
    <w:rsid w:val="00A50CC0"/>
    <w:rsid w:val="00A61844"/>
    <w:rsid w:val="00A66A36"/>
    <w:rsid w:val="00A67626"/>
    <w:rsid w:val="00A67E52"/>
    <w:rsid w:val="00A70924"/>
    <w:rsid w:val="00A71A67"/>
    <w:rsid w:val="00A72ECF"/>
    <w:rsid w:val="00A7756C"/>
    <w:rsid w:val="00A90DB9"/>
    <w:rsid w:val="00A90DE8"/>
    <w:rsid w:val="00A91502"/>
    <w:rsid w:val="00A9150C"/>
    <w:rsid w:val="00A934E0"/>
    <w:rsid w:val="00A978DD"/>
    <w:rsid w:val="00AA09E2"/>
    <w:rsid w:val="00AA4F14"/>
    <w:rsid w:val="00AB3DCE"/>
    <w:rsid w:val="00AC5CF3"/>
    <w:rsid w:val="00AD7FCF"/>
    <w:rsid w:val="00AE00FD"/>
    <w:rsid w:val="00AE312B"/>
    <w:rsid w:val="00B00FF3"/>
    <w:rsid w:val="00B031D0"/>
    <w:rsid w:val="00B078FC"/>
    <w:rsid w:val="00B0796D"/>
    <w:rsid w:val="00B07DD1"/>
    <w:rsid w:val="00B104A3"/>
    <w:rsid w:val="00B1575B"/>
    <w:rsid w:val="00B245A4"/>
    <w:rsid w:val="00B26E01"/>
    <w:rsid w:val="00B359F1"/>
    <w:rsid w:val="00B43A92"/>
    <w:rsid w:val="00B44330"/>
    <w:rsid w:val="00B44F30"/>
    <w:rsid w:val="00B51FF4"/>
    <w:rsid w:val="00B56BF6"/>
    <w:rsid w:val="00B601D6"/>
    <w:rsid w:val="00B71804"/>
    <w:rsid w:val="00B75763"/>
    <w:rsid w:val="00B8406A"/>
    <w:rsid w:val="00B912CB"/>
    <w:rsid w:val="00B973DE"/>
    <w:rsid w:val="00BA151B"/>
    <w:rsid w:val="00BA3ABD"/>
    <w:rsid w:val="00BA4C34"/>
    <w:rsid w:val="00BB641E"/>
    <w:rsid w:val="00BB72F1"/>
    <w:rsid w:val="00BC2C27"/>
    <w:rsid w:val="00BC40D9"/>
    <w:rsid w:val="00BC4670"/>
    <w:rsid w:val="00BD7018"/>
    <w:rsid w:val="00BE7200"/>
    <w:rsid w:val="00BF1ED8"/>
    <w:rsid w:val="00BF26D0"/>
    <w:rsid w:val="00BF7956"/>
    <w:rsid w:val="00C0073A"/>
    <w:rsid w:val="00C0093B"/>
    <w:rsid w:val="00C02542"/>
    <w:rsid w:val="00C07EB4"/>
    <w:rsid w:val="00C1106B"/>
    <w:rsid w:val="00C114B0"/>
    <w:rsid w:val="00C2122E"/>
    <w:rsid w:val="00C36922"/>
    <w:rsid w:val="00C36ACB"/>
    <w:rsid w:val="00C45F79"/>
    <w:rsid w:val="00C51357"/>
    <w:rsid w:val="00C53141"/>
    <w:rsid w:val="00C5511A"/>
    <w:rsid w:val="00C57658"/>
    <w:rsid w:val="00C57E1B"/>
    <w:rsid w:val="00C628EA"/>
    <w:rsid w:val="00C66442"/>
    <w:rsid w:val="00C817D0"/>
    <w:rsid w:val="00C93D83"/>
    <w:rsid w:val="00CA20AA"/>
    <w:rsid w:val="00CA335D"/>
    <w:rsid w:val="00CC5564"/>
    <w:rsid w:val="00CD25E1"/>
    <w:rsid w:val="00CD3D89"/>
    <w:rsid w:val="00CD3F3E"/>
    <w:rsid w:val="00D05C1C"/>
    <w:rsid w:val="00D21A4A"/>
    <w:rsid w:val="00D32EC0"/>
    <w:rsid w:val="00D333FD"/>
    <w:rsid w:val="00D370D6"/>
    <w:rsid w:val="00D37271"/>
    <w:rsid w:val="00D4115A"/>
    <w:rsid w:val="00D446A7"/>
    <w:rsid w:val="00D52ACF"/>
    <w:rsid w:val="00D54FC2"/>
    <w:rsid w:val="00D700E9"/>
    <w:rsid w:val="00D76D93"/>
    <w:rsid w:val="00D85D2A"/>
    <w:rsid w:val="00D91D9F"/>
    <w:rsid w:val="00DA5BEC"/>
    <w:rsid w:val="00DD7357"/>
    <w:rsid w:val="00DE27B9"/>
    <w:rsid w:val="00DE4A42"/>
    <w:rsid w:val="00DE4D86"/>
    <w:rsid w:val="00DE5A79"/>
    <w:rsid w:val="00DF2DF3"/>
    <w:rsid w:val="00DF3D15"/>
    <w:rsid w:val="00DF5AAF"/>
    <w:rsid w:val="00E02CF3"/>
    <w:rsid w:val="00E11996"/>
    <w:rsid w:val="00E15497"/>
    <w:rsid w:val="00E20FF8"/>
    <w:rsid w:val="00E408E7"/>
    <w:rsid w:val="00E413C4"/>
    <w:rsid w:val="00E54ACB"/>
    <w:rsid w:val="00E63257"/>
    <w:rsid w:val="00E65038"/>
    <w:rsid w:val="00E65ED0"/>
    <w:rsid w:val="00E662ED"/>
    <w:rsid w:val="00E67E07"/>
    <w:rsid w:val="00E7452C"/>
    <w:rsid w:val="00E76B35"/>
    <w:rsid w:val="00E92AE5"/>
    <w:rsid w:val="00E95E28"/>
    <w:rsid w:val="00E97185"/>
    <w:rsid w:val="00EA1BA3"/>
    <w:rsid w:val="00EA4392"/>
    <w:rsid w:val="00EB1371"/>
    <w:rsid w:val="00EB725F"/>
    <w:rsid w:val="00EB7666"/>
    <w:rsid w:val="00ED0728"/>
    <w:rsid w:val="00ED712F"/>
    <w:rsid w:val="00EE0EB1"/>
    <w:rsid w:val="00EE3EA8"/>
    <w:rsid w:val="00EE60F2"/>
    <w:rsid w:val="00EF0C14"/>
    <w:rsid w:val="00EF4D06"/>
    <w:rsid w:val="00F03D42"/>
    <w:rsid w:val="00F043BD"/>
    <w:rsid w:val="00F04456"/>
    <w:rsid w:val="00F234E6"/>
    <w:rsid w:val="00F24DFC"/>
    <w:rsid w:val="00F27DE0"/>
    <w:rsid w:val="00F533C0"/>
    <w:rsid w:val="00F702C4"/>
    <w:rsid w:val="00F71D77"/>
    <w:rsid w:val="00F8164C"/>
    <w:rsid w:val="00F83075"/>
    <w:rsid w:val="00F94093"/>
    <w:rsid w:val="00F96C3D"/>
    <w:rsid w:val="00FA2B49"/>
    <w:rsid w:val="00FB107B"/>
    <w:rsid w:val="00FB109E"/>
    <w:rsid w:val="00FB7FD1"/>
    <w:rsid w:val="00FC356A"/>
    <w:rsid w:val="00FD6E32"/>
    <w:rsid w:val="00FD71ED"/>
    <w:rsid w:val="00FE6C57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1C842D6F"/>
  <w15:docId w15:val="{BE0D15DD-9733-4065-AED9-393BEA4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  <w:style w:type="character" w:styleId="CittHTML">
    <w:name w:val="HTML Cite"/>
    <w:basedOn w:val="Standardnpsmoodstavce"/>
    <w:uiPriority w:val="99"/>
    <w:semiHidden/>
    <w:unhideWhenUsed/>
    <w:rsid w:val="00E408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7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62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onika.bora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etr@toua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B400-0F20-41DA-903C-B3C82A43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Zuzana Binarová</cp:lastModifiedBy>
  <cp:revision>4</cp:revision>
  <cp:lastPrinted>2016-06-02T09:12:00Z</cp:lastPrinted>
  <dcterms:created xsi:type="dcterms:W3CDTF">2016-05-18T13:07:00Z</dcterms:created>
  <dcterms:modified xsi:type="dcterms:W3CDTF">2016-06-02T09:14:00Z</dcterms:modified>
</cp:coreProperties>
</file>